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tblBorders>
          <w:top w:val="single" w:sz="12" w:space="0" w:color="E6E6E6"/>
          <w:left w:val="single" w:sz="12" w:space="0" w:color="E6E6E6"/>
          <w:bottom w:val="single" w:sz="12" w:space="0" w:color="E6E6E6"/>
          <w:right w:val="single" w:sz="12" w:space="0" w:color="E6E6E6"/>
        </w:tblBorders>
        <w:shd w:val="clear" w:color="auto" w:fill="FFFFFF"/>
        <w:tblCellMar>
          <w:left w:w="0" w:type="dxa"/>
          <w:right w:w="0" w:type="dxa"/>
        </w:tblCellMar>
        <w:tblLook w:val="04A0" w:firstRow="1" w:lastRow="0" w:firstColumn="1" w:lastColumn="0" w:noHBand="0" w:noVBand="1"/>
      </w:tblPr>
      <w:tblGrid>
        <w:gridCol w:w="954"/>
        <w:gridCol w:w="2657"/>
        <w:gridCol w:w="5689"/>
      </w:tblGrid>
      <w:tr w:rsidR="008C28C4" w:rsidRPr="008C28C4" w14:paraId="2A523165" w14:textId="77777777" w:rsidTr="008C28C4">
        <w:trPr>
          <w:tblHeader/>
        </w:trPr>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77643E61"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AEL Code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5BB9F98F"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Title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08A7D990"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Description</w:t>
            </w:r>
          </w:p>
        </w:tc>
      </w:tr>
      <w:tr w:rsidR="008C28C4" w:rsidRPr="008C28C4" w14:paraId="43FA7016"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E3DBF7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03OE-03-MEGA</w:t>
            </w:r>
          </w:p>
        </w:tc>
        <w:tc>
          <w:tcPr>
            <w:tcW w:w="0" w:type="auto"/>
            <w:tcBorders>
              <w:right w:val="single" w:sz="12" w:space="0" w:color="E6E6E6"/>
            </w:tcBorders>
            <w:shd w:val="clear" w:color="auto" w:fill="FFFFFF"/>
            <w:tcMar>
              <w:top w:w="120" w:type="dxa"/>
              <w:left w:w="150" w:type="dxa"/>
              <w:bottom w:w="120" w:type="dxa"/>
              <w:right w:w="150" w:type="dxa"/>
            </w:tcMar>
            <w:hideMark/>
          </w:tcPr>
          <w:p w14:paraId="11E8096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Public Address, Handheld or Mobile</w:t>
            </w:r>
          </w:p>
        </w:tc>
        <w:tc>
          <w:tcPr>
            <w:tcW w:w="0" w:type="auto"/>
            <w:tcBorders>
              <w:right w:val="single" w:sz="12" w:space="0" w:color="E6E6E6"/>
            </w:tcBorders>
            <w:shd w:val="clear" w:color="auto" w:fill="FFFFFF"/>
            <w:tcMar>
              <w:top w:w="120" w:type="dxa"/>
              <w:left w:w="150" w:type="dxa"/>
              <w:bottom w:w="120" w:type="dxa"/>
              <w:right w:w="150" w:type="dxa"/>
            </w:tcMar>
            <w:hideMark/>
          </w:tcPr>
          <w:p w14:paraId="0DBDC34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for mass audio notification, including vehicle-mounted high powered speaker systems, or battery powered megaphone/public address systems with corded microphone.</w:t>
            </w:r>
          </w:p>
        </w:tc>
      </w:tr>
      <w:tr w:rsidR="008C28C4" w:rsidRPr="008C28C4" w14:paraId="77FE29DD"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9AAD348"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03OE-03-SIGN</w:t>
            </w:r>
          </w:p>
        </w:tc>
        <w:tc>
          <w:tcPr>
            <w:tcW w:w="0" w:type="auto"/>
            <w:tcBorders>
              <w:right w:val="single" w:sz="12" w:space="0" w:color="E6E6E6"/>
            </w:tcBorders>
            <w:shd w:val="clear" w:color="auto" w:fill="FFFFFF"/>
            <w:tcMar>
              <w:top w:w="120" w:type="dxa"/>
              <w:left w:w="150" w:type="dxa"/>
              <w:bottom w:w="120" w:type="dxa"/>
              <w:right w:w="150" w:type="dxa"/>
            </w:tcMar>
            <w:hideMark/>
          </w:tcPr>
          <w:p w14:paraId="29786273"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Signs</w:t>
            </w:r>
          </w:p>
        </w:tc>
        <w:tc>
          <w:tcPr>
            <w:tcW w:w="0" w:type="auto"/>
            <w:tcBorders>
              <w:right w:val="single" w:sz="12" w:space="0" w:color="E6E6E6"/>
            </w:tcBorders>
            <w:shd w:val="clear" w:color="auto" w:fill="FFFFFF"/>
            <w:tcMar>
              <w:top w:w="120" w:type="dxa"/>
              <w:left w:w="150" w:type="dxa"/>
              <w:bottom w:w="120" w:type="dxa"/>
              <w:right w:w="150" w:type="dxa"/>
            </w:tcMar>
            <w:hideMark/>
          </w:tcPr>
          <w:p w14:paraId="0A65A1D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Restricted access and caution warning signs that preprinted or field printable and can be various colors, sizes, and shapes. Examples can include traffic cones, other free-standing signage, mountable items, and signs and devices for individuals with disabilities and others with access and functional needs (e.g., programmable audible caution cones and scrolling marquis signs).</w:t>
            </w:r>
          </w:p>
        </w:tc>
      </w:tr>
      <w:tr w:rsidR="008C28C4" w:rsidRPr="008C28C4" w14:paraId="0AA4C54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C98FA0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04AP-05-CRED</w:t>
            </w:r>
          </w:p>
        </w:tc>
        <w:tc>
          <w:tcPr>
            <w:tcW w:w="0" w:type="auto"/>
            <w:tcBorders>
              <w:right w:val="single" w:sz="12" w:space="0" w:color="E6E6E6"/>
            </w:tcBorders>
            <w:shd w:val="clear" w:color="auto" w:fill="FFFFFF"/>
            <w:tcMar>
              <w:top w:w="120" w:type="dxa"/>
              <w:left w:w="150" w:type="dxa"/>
              <w:bottom w:w="120" w:type="dxa"/>
              <w:right w:w="150" w:type="dxa"/>
            </w:tcMar>
            <w:hideMark/>
          </w:tcPr>
          <w:p w14:paraId="43BD7474"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Credentialing</w:t>
            </w:r>
          </w:p>
        </w:tc>
        <w:tc>
          <w:tcPr>
            <w:tcW w:w="0" w:type="auto"/>
            <w:tcBorders>
              <w:right w:val="single" w:sz="12" w:space="0" w:color="E6E6E6"/>
            </w:tcBorders>
            <w:shd w:val="clear" w:color="auto" w:fill="FFFFFF"/>
            <w:tcMar>
              <w:top w:w="120" w:type="dxa"/>
              <w:left w:w="150" w:type="dxa"/>
              <w:bottom w:w="120" w:type="dxa"/>
              <w:right w:w="150" w:type="dxa"/>
            </w:tcMar>
            <w:hideMark/>
          </w:tcPr>
          <w:p w14:paraId="562954BD"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Software application and associated hardware and material for creating site/event credential badges and controlling scene access. Although some hardware may be required, functionality may also be obtainable via subscription as a cloud-based service, as opposed to purchasing software.</w:t>
            </w:r>
          </w:p>
        </w:tc>
      </w:tr>
      <w:tr w:rsidR="008C28C4" w:rsidRPr="008C28C4" w14:paraId="0FDAB027"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E302C5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04AP-09-ALRT</w:t>
            </w:r>
          </w:p>
        </w:tc>
        <w:tc>
          <w:tcPr>
            <w:tcW w:w="0" w:type="auto"/>
            <w:tcBorders>
              <w:right w:val="single" w:sz="12" w:space="0" w:color="E6E6E6"/>
            </w:tcBorders>
            <w:shd w:val="clear" w:color="auto" w:fill="FFFFFF"/>
            <w:tcMar>
              <w:top w:w="120" w:type="dxa"/>
              <w:left w:w="150" w:type="dxa"/>
              <w:bottom w:w="120" w:type="dxa"/>
              <w:right w:w="150" w:type="dxa"/>
            </w:tcMar>
            <w:hideMark/>
          </w:tcPr>
          <w:p w14:paraId="4922351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Public Notification and Warning</w:t>
            </w:r>
          </w:p>
        </w:tc>
        <w:tc>
          <w:tcPr>
            <w:tcW w:w="0" w:type="auto"/>
            <w:tcBorders>
              <w:right w:val="single" w:sz="12" w:space="0" w:color="E6E6E6"/>
            </w:tcBorders>
            <w:shd w:val="clear" w:color="auto" w:fill="FFFFFF"/>
            <w:tcMar>
              <w:top w:w="120" w:type="dxa"/>
              <w:left w:w="150" w:type="dxa"/>
              <w:bottom w:w="120" w:type="dxa"/>
              <w:right w:w="150" w:type="dxa"/>
            </w:tcMar>
            <w:hideMark/>
          </w:tcPr>
          <w:p w14:paraId="405B766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used to alert the public of protective actions or to provide warning to the public in the event of an incident, such as sirens, the Emergency Alert System (EAS), the Integrated Public Alert and Warning System (IPAWS), and Wireless Emergency Alerts (WEA).</w:t>
            </w:r>
          </w:p>
        </w:tc>
      </w:tr>
      <w:tr w:rsidR="008C28C4" w:rsidRPr="008C28C4" w14:paraId="5E5AF0CF"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53A4945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04AP-11-SAAS</w:t>
            </w:r>
          </w:p>
        </w:tc>
        <w:tc>
          <w:tcPr>
            <w:tcW w:w="0" w:type="auto"/>
            <w:tcBorders>
              <w:right w:val="single" w:sz="12" w:space="0" w:color="E6E6E6"/>
            </w:tcBorders>
            <w:shd w:val="clear" w:color="auto" w:fill="FFFFFF"/>
            <w:tcMar>
              <w:top w:w="120" w:type="dxa"/>
              <w:left w:w="150" w:type="dxa"/>
              <w:bottom w:w="120" w:type="dxa"/>
              <w:right w:w="150" w:type="dxa"/>
            </w:tcMar>
            <w:hideMark/>
          </w:tcPr>
          <w:p w14:paraId="6BDCCFE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Applications, Software as a Service</w:t>
            </w:r>
          </w:p>
        </w:tc>
        <w:tc>
          <w:tcPr>
            <w:tcW w:w="0" w:type="auto"/>
            <w:tcBorders>
              <w:right w:val="single" w:sz="12" w:space="0" w:color="E6E6E6"/>
            </w:tcBorders>
            <w:shd w:val="clear" w:color="auto" w:fill="FFFFFF"/>
            <w:tcMar>
              <w:top w:w="120" w:type="dxa"/>
              <w:left w:w="150" w:type="dxa"/>
              <w:bottom w:w="120" w:type="dxa"/>
              <w:right w:w="150" w:type="dxa"/>
            </w:tcMar>
            <w:hideMark/>
          </w:tcPr>
          <w:p w14:paraId="1121F25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Sometimes referred to as “on-demand software,” this application runs on the provider’s servers, delivering functionality via the internet to any device having connectivity and the required browser or interface. Access to the application is obtained via a service subscription rather than outright purchase, with all updates and configuration requirements handled by the service provider. </w:t>
            </w:r>
            <w:r w:rsidRPr="008C28C4">
              <w:rPr>
                <w:rFonts w:ascii="Source Sans Pro" w:eastAsia="Times New Roman" w:hAnsi="Source Sans Pro" w:cs="Times New Roman"/>
                <w:i/>
                <w:iCs/>
                <w:color w:val="1B1B1B"/>
                <w:kern w:val="0"/>
                <w14:ligatures w14:val="none"/>
              </w:rPr>
              <w:t>This item is limited to those services that support security systems such as access controls, camera networks, cybersecurity services or other critical infrastructure security.</w:t>
            </w:r>
          </w:p>
        </w:tc>
      </w:tr>
      <w:tr w:rsidR="008C28C4" w:rsidRPr="008C28C4" w14:paraId="00EBFCF0"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1D5230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05AU-00-TOKN</w:t>
            </w:r>
          </w:p>
        </w:tc>
        <w:tc>
          <w:tcPr>
            <w:tcW w:w="0" w:type="auto"/>
            <w:tcBorders>
              <w:right w:val="single" w:sz="12" w:space="0" w:color="E6E6E6"/>
            </w:tcBorders>
            <w:shd w:val="clear" w:color="auto" w:fill="FFFFFF"/>
            <w:tcMar>
              <w:top w:w="120" w:type="dxa"/>
              <w:left w:w="150" w:type="dxa"/>
              <w:bottom w:w="120" w:type="dxa"/>
              <w:right w:w="150" w:type="dxa"/>
            </w:tcMar>
            <w:hideMark/>
          </w:tcPr>
          <w:p w14:paraId="48AE41C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Remote Authentication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601E2E88"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used to provide enhanced remote authentication, often consisting of a server or synchronization scheme and a device, token, or smartphone application.</w:t>
            </w:r>
          </w:p>
        </w:tc>
      </w:tr>
      <w:tr w:rsidR="008C28C4" w:rsidRPr="008C28C4" w14:paraId="0A2565A7"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8533B6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lastRenderedPageBreak/>
              <w:t>05EN-00-ECRP</w:t>
            </w:r>
          </w:p>
        </w:tc>
        <w:tc>
          <w:tcPr>
            <w:tcW w:w="0" w:type="auto"/>
            <w:tcBorders>
              <w:right w:val="single" w:sz="12" w:space="0" w:color="E6E6E6"/>
            </w:tcBorders>
            <w:shd w:val="clear" w:color="auto" w:fill="FFFFFF"/>
            <w:tcMar>
              <w:top w:w="120" w:type="dxa"/>
              <w:left w:w="150" w:type="dxa"/>
              <w:bottom w:w="120" w:type="dxa"/>
              <w:right w:w="150" w:type="dxa"/>
            </w:tcMar>
            <w:hideMark/>
          </w:tcPr>
          <w:p w14:paraId="2C1A014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Software, Encryption</w:t>
            </w:r>
          </w:p>
        </w:tc>
        <w:tc>
          <w:tcPr>
            <w:tcW w:w="0" w:type="auto"/>
            <w:tcBorders>
              <w:right w:val="single" w:sz="12" w:space="0" w:color="E6E6E6"/>
            </w:tcBorders>
            <w:shd w:val="clear" w:color="auto" w:fill="FFFFFF"/>
            <w:tcMar>
              <w:top w:w="120" w:type="dxa"/>
              <w:left w:w="150" w:type="dxa"/>
              <w:bottom w:w="120" w:type="dxa"/>
              <w:right w:w="150" w:type="dxa"/>
            </w:tcMar>
            <w:hideMark/>
          </w:tcPr>
          <w:p w14:paraId="7CB01513"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Encryption software used to protect stored data files or email messages.</w:t>
            </w:r>
          </w:p>
        </w:tc>
      </w:tr>
      <w:tr w:rsidR="008C28C4" w:rsidRPr="008C28C4" w14:paraId="4B00D069"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57B972E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05HS-00-MALW</w:t>
            </w:r>
          </w:p>
        </w:tc>
        <w:tc>
          <w:tcPr>
            <w:tcW w:w="0" w:type="auto"/>
            <w:tcBorders>
              <w:right w:val="single" w:sz="12" w:space="0" w:color="E6E6E6"/>
            </w:tcBorders>
            <w:shd w:val="clear" w:color="auto" w:fill="FFFFFF"/>
            <w:tcMar>
              <w:top w:w="120" w:type="dxa"/>
              <w:left w:w="150" w:type="dxa"/>
              <w:bottom w:w="120" w:type="dxa"/>
              <w:right w:w="150" w:type="dxa"/>
            </w:tcMar>
            <w:hideMark/>
          </w:tcPr>
          <w:p w14:paraId="007B2EA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Software, Malware/Anti-Virus Protection</w:t>
            </w:r>
          </w:p>
        </w:tc>
        <w:tc>
          <w:tcPr>
            <w:tcW w:w="0" w:type="auto"/>
            <w:tcBorders>
              <w:right w:val="single" w:sz="12" w:space="0" w:color="E6E6E6"/>
            </w:tcBorders>
            <w:shd w:val="clear" w:color="auto" w:fill="FFFFFF"/>
            <w:tcMar>
              <w:top w:w="120" w:type="dxa"/>
              <w:left w:w="150" w:type="dxa"/>
              <w:bottom w:w="120" w:type="dxa"/>
              <w:right w:w="150" w:type="dxa"/>
            </w:tcMar>
            <w:hideMark/>
          </w:tcPr>
          <w:p w14:paraId="10BA028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Software for protection against viruses, spyware, and malicious code. May be obtained for individual hosts or for entire network segments.</w:t>
            </w:r>
          </w:p>
        </w:tc>
      </w:tr>
      <w:tr w:rsidR="008C28C4" w:rsidRPr="008C28C4" w14:paraId="337FAE4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94834C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05HS-00-PFWL</w:t>
            </w:r>
          </w:p>
        </w:tc>
        <w:tc>
          <w:tcPr>
            <w:tcW w:w="0" w:type="auto"/>
            <w:tcBorders>
              <w:right w:val="single" w:sz="12" w:space="0" w:color="E6E6E6"/>
            </w:tcBorders>
            <w:shd w:val="clear" w:color="auto" w:fill="FFFFFF"/>
            <w:tcMar>
              <w:top w:w="120" w:type="dxa"/>
              <w:left w:w="150" w:type="dxa"/>
              <w:bottom w:w="120" w:type="dxa"/>
              <w:right w:w="150" w:type="dxa"/>
            </w:tcMar>
            <w:hideMark/>
          </w:tcPr>
          <w:p w14:paraId="621DBCB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Personal Firewall</w:t>
            </w:r>
          </w:p>
        </w:tc>
        <w:tc>
          <w:tcPr>
            <w:tcW w:w="0" w:type="auto"/>
            <w:tcBorders>
              <w:right w:val="single" w:sz="12" w:space="0" w:color="E6E6E6"/>
            </w:tcBorders>
            <w:shd w:val="clear" w:color="auto" w:fill="FFFFFF"/>
            <w:tcMar>
              <w:top w:w="120" w:type="dxa"/>
              <w:left w:w="150" w:type="dxa"/>
              <w:bottom w:w="120" w:type="dxa"/>
              <w:right w:w="150" w:type="dxa"/>
            </w:tcMar>
            <w:hideMark/>
          </w:tcPr>
          <w:p w14:paraId="29DD8D3A"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Personal firewall for operation on individual workstations. This item is usually a software solution, but appliances are also available. See also: 05NP-00-FWAL.</w:t>
            </w:r>
          </w:p>
        </w:tc>
      </w:tr>
      <w:tr w:rsidR="008C28C4" w:rsidRPr="008C28C4" w14:paraId="6182DD47"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444CD8B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05NP-00-FWAL</w:t>
            </w:r>
          </w:p>
        </w:tc>
        <w:tc>
          <w:tcPr>
            <w:tcW w:w="0" w:type="auto"/>
            <w:tcBorders>
              <w:right w:val="single" w:sz="12" w:space="0" w:color="E6E6E6"/>
            </w:tcBorders>
            <w:shd w:val="clear" w:color="auto" w:fill="FFFFFF"/>
            <w:tcMar>
              <w:top w:w="120" w:type="dxa"/>
              <w:left w:w="150" w:type="dxa"/>
              <w:bottom w:w="120" w:type="dxa"/>
              <w:right w:w="150" w:type="dxa"/>
            </w:tcMar>
            <w:hideMark/>
          </w:tcPr>
          <w:p w14:paraId="5321D96A"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Firewall, Network</w:t>
            </w:r>
          </w:p>
        </w:tc>
        <w:tc>
          <w:tcPr>
            <w:tcW w:w="0" w:type="auto"/>
            <w:tcBorders>
              <w:right w:val="single" w:sz="12" w:space="0" w:color="E6E6E6"/>
            </w:tcBorders>
            <w:shd w:val="clear" w:color="auto" w:fill="FFFFFF"/>
            <w:tcMar>
              <w:top w:w="120" w:type="dxa"/>
              <w:left w:w="150" w:type="dxa"/>
              <w:bottom w:w="120" w:type="dxa"/>
              <w:right w:w="150" w:type="dxa"/>
            </w:tcMar>
            <w:hideMark/>
          </w:tcPr>
          <w:p w14:paraId="549E8C8D"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Firewall (software or standalone appliance) for use in protecting networks. See also 05HS-00-PFWL.</w:t>
            </w:r>
          </w:p>
        </w:tc>
      </w:tr>
      <w:tr w:rsidR="008C28C4" w:rsidRPr="008C28C4" w14:paraId="70D3266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46FE7B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05NP-00-IDPS</w:t>
            </w:r>
          </w:p>
        </w:tc>
        <w:tc>
          <w:tcPr>
            <w:tcW w:w="0" w:type="auto"/>
            <w:tcBorders>
              <w:right w:val="single" w:sz="12" w:space="0" w:color="E6E6E6"/>
            </w:tcBorders>
            <w:shd w:val="clear" w:color="auto" w:fill="FFFFFF"/>
            <w:tcMar>
              <w:top w:w="120" w:type="dxa"/>
              <w:left w:w="150" w:type="dxa"/>
              <w:bottom w:w="120" w:type="dxa"/>
              <w:right w:w="150" w:type="dxa"/>
            </w:tcMar>
            <w:hideMark/>
          </w:tcPr>
          <w:p w14:paraId="041A8D5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Intrusion Detection/Prevention</w:t>
            </w:r>
          </w:p>
        </w:tc>
        <w:tc>
          <w:tcPr>
            <w:tcW w:w="0" w:type="auto"/>
            <w:tcBorders>
              <w:right w:val="single" w:sz="12" w:space="0" w:color="E6E6E6"/>
            </w:tcBorders>
            <w:shd w:val="clear" w:color="auto" w:fill="FFFFFF"/>
            <w:tcMar>
              <w:top w:w="120" w:type="dxa"/>
              <w:left w:w="150" w:type="dxa"/>
              <w:bottom w:w="120" w:type="dxa"/>
              <w:right w:w="150" w:type="dxa"/>
            </w:tcMar>
            <w:hideMark/>
          </w:tcPr>
          <w:p w14:paraId="09ADEFB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Intrusion Detection and/or Prevention System deployed at either host or network level to detect and/or prevent unauthorized or aberrant (</w:t>
            </w:r>
            <w:proofErr w:type="spellStart"/>
            <w:r w:rsidRPr="008C28C4">
              <w:rPr>
                <w:rFonts w:ascii="Source Sans Pro" w:eastAsia="Times New Roman" w:hAnsi="Source Sans Pro" w:cs="Times New Roman"/>
                <w:color w:val="1B1B1B"/>
                <w:kern w:val="0"/>
                <w14:ligatures w14:val="none"/>
              </w:rPr>
              <w:t>i.e</w:t>
            </w:r>
            <w:proofErr w:type="spellEnd"/>
            <w:r w:rsidRPr="008C28C4">
              <w:rPr>
                <w:rFonts w:ascii="Source Sans Pro" w:eastAsia="Times New Roman" w:hAnsi="Source Sans Pro" w:cs="Times New Roman"/>
                <w:color w:val="1B1B1B"/>
                <w:kern w:val="0"/>
                <w14:ligatures w14:val="none"/>
              </w:rPr>
              <w:t>, abnormal) behavior on the network.</w:t>
            </w:r>
          </w:p>
        </w:tc>
      </w:tr>
      <w:tr w:rsidR="008C28C4" w:rsidRPr="008C28C4" w14:paraId="2FC15078"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F74800D"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06CP-01-PORT</w:t>
            </w:r>
          </w:p>
        </w:tc>
        <w:tc>
          <w:tcPr>
            <w:tcW w:w="0" w:type="auto"/>
            <w:tcBorders>
              <w:right w:val="single" w:sz="12" w:space="0" w:color="E6E6E6"/>
            </w:tcBorders>
            <w:shd w:val="clear" w:color="auto" w:fill="FFFFFF"/>
            <w:tcMar>
              <w:top w:w="120" w:type="dxa"/>
              <w:left w:w="150" w:type="dxa"/>
              <w:bottom w:w="120" w:type="dxa"/>
              <w:right w:w="150" w:type="dxa"/>
            </w:tcMar>
            <w:hideMark/>
          </w:tcPr>
          <w:p w14:paraId="636155B3"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Radio, Portable</w:t>
            </w:r>
          </w:p>
        </w:tc>
        <w:tc>
          <w:tcPr>
            <w:tcW w:w="0" w:type="auto"/>
            <w:tcBorders>
              <w:right w:val="single" w:sz="12" w:space="0" w:color="E6E6E6"/>
            </w:tcBorders>
            <w:shd w:val="clear" w:color="auto" w:fill="FFFFFF"/>
            <w:tcMar>
              <w:top w:w="120" w:type="dxa"/>
              <w:left w:w="150" w:type="dxa"/>
              <w:bottom w:w="120" w:type="dxa"/>
              <w:right w:w="150" w:type="dxa"/>
            </w:tcMar>
            <w:hideMark/>
          </w:tcPr>
          <w:p w14:paraId="2821B24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Individual/portable radio transceivers, for notifications and alerts.</w:t>
            </w:r>
          </w:p>
        </w:tc>
      </w:tr>
      <w:tr w:rsidR="008C28C4" w:rsidRPr="008C28C4" w14:paraId="65A2582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638DD0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06CP-01-REPT</w:t>
            </w:r>
          </w:p>
        </w:tc>
        <w:tc>
          <w:tcPr>
            <w:tcW w:w="0" w:type="auto"/>
            <w:tcBorders>
              <w:right w:val="single" w:sz="12" w:space="0" w:color="E6E6E6"/>
            </w:tcBorders>
            <w:shd w:val="clear" w:color="auto" w:fill="FFFFFF"/>
            <w:tcMar>
              <w:top w:w="120" w:type="dxa"/>
              <w:left w:w="150" w:type="dxa"/>
              <w:bottom w:w="120" w:type="dxa"/>
              <w:right w:w="150" w:type="dxa"/>
            </w:tcMar>
            <w:hideMark/>
          </w:tcPr>
          <w:p w14:paraId="6E84B37A"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Repeater</w:t>
            </w:r>
          </w:p>
        </w:tc>
        <w:tc>
          <w:tcPr>
            <w:tcW w:w="0" w:type="auto"/>
            <w:tcBorders>
              <w:right w:val="single" w:sz="12" w:space="0" w:color="E6E6E6"/>
            </w:tcBorders>
            <w:shd w:val="clear" w:color="auto" w:fill="FFFFFF"/>
            <w:tcMar>
              <w:top w:w="120" w:type="dxa"/>
              <w:left w:w="150" w:type="dxa"/>
              <w:bottom w:w="120" w:type="dxa"/>
              <w:right w:w="150" w:type="dxa"/>
            </w:tcMar>
            <w:hideMark/>
          </w:tcPr>
          <w:p w14:paraId="73E6504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Electronic device that receives a weak or low-level signal and retransmits that signal to extend usable range.</w:t>
            </w:r>
          </w:p>
        </w:tc>
      </w:tr>
      <w:tr w:rsidR="008C28C4" w:rsidRPr="008C28C4" w14:paraId="3CF9C0B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01BEDF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06CC-02-PAGE</w:t>
            </w:r>
          </w:p>
        </w:tc>
        <w:tc>
          <w:tcPr>
            <w:tcW w:w="0" w:type="auto"/>
            <w:tcBorders>
              <w:right w:val="single" w:sz="12" w:space="0" w:color="E6E6E6"/>
            </w:tcBorders>
            <w:shd w:val="clear" w:color="auto" w:fill="FFFFFF"/>
            <w:tcMar>
              <w:top w:w="120" w:type="dxa"/>
              <w:left w:w="150" w:type="dxa"/>
              <w:bottom w:w="120" w:type="dxa"/>
              <w:right w:w="150" w:type="dxa"/>
            </w:tcMar>
            <w:hideMark/>
          </w:tcPr>
          <w:p w14:paraId="6A83E50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Services/Systems, Paging</w:t>
            </w:r>
          </w:p>
        </w:tc>
        <w:tc>
          <w:tcPr>
            <w:tcW w:w="0" w:type="auto"/>
            <w:tcBorders>
              <w:right w:val="single" w:sz="12" w:space="0" w:color="E6E6E6"/>
            </w:tcBorders>
            <w:shd w:val="clear" w:color="auto" w:fill="FFFFFF"/>
            <w:tcMar>
              <w:top w:w="120" w:type="dxa"/>
              <w:left w:w="150" w:type="dxa"/>
              <w:bottom w:w="120" w:type="dxa"/>
              <w:right w:w="150" w:type="dxa"/>
            </w:tcMar>
            <w:hideMark/>
          </w:tcPr>
          <w:p w14:paraId="60F548E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Paging services/systems/applications; one-way text messaging for notifications or alerts.</w:t>
            </w:r>
          </w:p>
        </w:tc>
      </w:tr>
      <w:tr w:rsidR="008C28C4" w:rsidRPr="008C28C4" w14:paraId="340F4895"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5462482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06CP-03-ICOM</w:t>
            </w:r>
          </w:p>
        </w:tc>
        <w:tc>
          <w:tcPr>
            <w:tcW w:w="0" w:type="auto"/>
            <w:tcBorders>
              <w:right w:val="single" w:sz="12" w:space="0" w:color="E6E6E6"/>
            </w:tcBorders>
            <w:shd w:val="clear" w:color="auto" w:fill="FFFFFF"/>
            <w:tcMar>
              <w:top w:w="120" w:type="dxa"/>
              <w:left w:w="150" w:type="dxa"/>
              <w:bottom w:w="120" w:type="dxa"/>
              <w:right w:w="150" w:type="dxa"/>
            </w:tcMar>
            <w:hideMark/>
          </w:tcPr>
          <w:p w14:paraId="5976D1B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Intercom/Intercom System</w:t>
            </w:r>
          </w:p>
        </w:tc>
        <w:tc>
          <w:tcPr>
            <w:tcW w:w="0" w:type="auto"/>
            <w:tcBorders>
              <w:right w:val="single" w:sz="12" w:space="0" w:color="E6E6E6"/>
            </w:tcBorders>
            <w:shd w:val="clear" w:color="auto" w:fill="FFFFFF"/>
            <w:tcMar>
              <w:top w:w="120" w:type="dxa"/>
              <w:left w:w="150" w:type="dxa"/>
              <w:bottom w:w="120" w:type="dxa"/>
              <w:right w:w="150" w:type="dxa"/>
            </w:tcMar>
            <w:hideMark/>
          </w:tcPr>
          <w:p w14:paraId="3E573EC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 xml:space="preserve">Communication system for a limited number of personnel </w:t>
            </w:r>
            <w:proofErr w:type="gramStart"/>
            <w:r w:rsidRPr="008C28C4">
              <w:rPr>
                <w:rFonts w:ascii="Source Sans Pro" w:eastAsia="Times New Roman" w:hAnsi="Source Sans Pro" w:cs="Times New Roman"/>
                <w:color w:val="1B1B1B"/>
                <w:kern w:val="0"/>
                <w14:ligatures w14:val="none"/>
              </w:rPr>
              <w:t>in close proximity to</w:t>
            </w:r>
            <w:proofErr w:type="gramEnd"/>
            <w:r w:rsidRPr="008C28C4">
              <w:rPr>
                <w:rFonts w:ascii="Source Sans Pro" w:eastAsia="Times New Roman" w:hAnsi="Source Sans Pro" w:cs="Times New Roman"/>
                <w:color w:val="1B1B1B"/>
                <w:kern w:val="0"/>
                <w14:ligatures w14:val="none"/>
              </w:rPr>
              <w:t xml:space="preserve"> receive alerts or notifications</w:t>
            </w:r>
          </w:p>
        </w:tc>
      </w:tr>
      <w:tr w:rsidR="008C28C4" w:rsidRPr="008C28C4" w14:paraId="769AA14B"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4960472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06CP-03-PRAC</w:t>
            </w:r>
          </w:p>
        </w:tc>
        <w:tc>
          <w:tcPr>
            <w:tcW w:w="0" w:type="auto"/>
            <w:tcBorders>
              <w:right w:val="single" w:sz="12" w:space="0" w:color="E6E6E6"/>
            </w:tcBorders>
            <w:shd w:val="clear" w:color="auto" w:fill="FFFFFF"/>
            <w:tcMar>
              <w:top w:w="120" w:type="dxa"/>
              <w:left w:w="150" w:type="dxa"/>
              <w:bottom w:w="120" w:type="dxa"/>
              <w:right w:w="150" w:type="dxa"/>
            </w:tcMar>
            <w:hideMark/>
          </w:tcPr>
          <w:p w14:paraId="0D95B66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Accessories, Portable Radio</w:t>
            </w:r>
          </w:p>
        </w:tc>
        <w:tc>
          <w:tcPr>
            <w:tcW w:w="0" w:type="auto"/>
            <w:tcBorders>
              <w:right w:val="single" w:sz="12" w:space="0" w:color="E6E6E6"/>
            </w:tcBorders>
            <w:shd w:val="clear" w:color="auto" w:fill="FFFFFF"/>
            <w:tcMar>
              <w:top w:w="120" w:type="dxa"/>
              <w:left w:w="150" w:type="dxa"/>
              <w:bottom w:w="120" w:type="dxa"/>
              <w:right w:w="150" w:type="dxa"/>
            </w:tcMar>
            <w:hideMark/>
          </w:tcPr>
          <w:p w14:paraId="43823E3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Speaker/microphone extensions to portable radios. </w:t>
            </w:r>
          </w:p>
        </w:tc>
      </w:tr>
      <w:tr w:rsidR="008C28C4" w:rsidRPr="008C28C4" w14:paraId="2D856DDE"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52AB31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10GE-00-GENR</w:t>
            </w:r>
          </w:p>
        </w:tc>
        <w:tc>
          <w:tcPr>
            <w:tcW w:w="0" w:type="auto"/>
            <w:tcBorders>
              <w:right w:val="single" w:sz="12" w:space="0" w:color="E6E6E6"/>
            </w:tcBorders>
            <w:shd w:val="clear" w:color="auto" w:fill="FFFFFF"/>
            <w:tcMar>
              <w:top w:w="120" w:type="dxa"/>
              <w:left w:w="150" w:type="dxa"/>
              <w:bottom w:w="120" w:type="dxa"/>
              <w:right w:w="150" w:type="dxa"/>
            </w:tcMar>
            <w:hideMark/>
          </w:tcPr>
          <w:p w14:paraId="7225EC3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Generators</w:t>
            </w:r>
          </w:p>
        </w:tc>
        <w:tc>
          <w:tcPr>
            <w:tcW w:w="0" w:type="auto"/>
            <w:tcBorders>
              <w:right w:val="single" w:sz="12" w:space="0" w:color="E6E6E6"/>
            </w:tcBorders>
            <w:shd w:val="clear" w:color="auto" w:fill="FFFFFF"/>
            <w:tcMar>
              <w:top w:w="120" w:type="dxa"/>
              <w:left w:w="150" w:type="dxa"/>
              <w:bottom w:w="120" w:type="dxa"/>
              <w:right w:w="150" w:type="dxa"/>
            </w:tcMar>
            <w:hideMark/>
          </w:tcPr>
          <w:p w14:paraId="33E32EC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 xml:space="preserve">Generators (gasoline, diesel, propane, natural gas, etc.) and their required installation materials, including 10PE-00-PTSW (a power switch) if not already included, to </w:t>
            </w:r>
            <w:r w:rsidRPr="008C28C4">
              <w:rPr>
                <w:rFonts w:ascii="Source Sans Pro" w:eastAsia="Times New Roman" w:hAnsi="Source Sans Pro" w:cs="Times New Roman"/>
                <w:color w:val="1B1B1B"/>
                <w:kern w:val="0"/>
                <w14:ligatures w14:val="none"/>
              </w:rPr>
              <w:lastRenderedPageBreak/>
              <w:t>support a redundant power supply for security systems, alarms, lighting, and other physical security/cybersecurity infrastructure or systems.</w:t>
            </w:r>
          </w:p>
        </w:tc>
      </w:tr>
      <w:tr w:rsidR="008C28C4" w:rsidRPr="008C28C4" w14:paraId="79926366"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2D4A99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lastRenderedPageBreak/>
              <w:t>13IT-00-ALRT</w:t>
            </w:r>
          </w:p>
        </w:tc>
        <w:tc>
          <w:tcPr>
            <w:tcW w:w="0" w:type="auto"/>
            <w:tcBorders>
              <w:right w:val="single" w:sz="12" w:space="0" w:color="E6E6E6"/>
            </w:tcBorders>
            <w:shd w:val="clear" w:color="auto" w:fill="FFFFFF"/>
            <w:tcMar>
              <w:top w:w="120" w:type="dxa"/>
              <w:left w:w="150" w:type="dxa"/>
              <w:bottom w:w="120" w:type="dxa"/>
              <w:right w:w="150" w:type="dxa"/>
            </w:tcMar>
            <w:hideMark/>
          </w:tcPr>
          <w:p w14:paraId="637C400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Alert/Notification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30B0615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Alert/notification software that allows for real-time dissemination of information for situational awareness or alerts among a group via means such as smartphones, landlines, pagers, etc. This item may also be a subscription cloud-based service using a web browser interface or a mobile application instead of a software.</w:t>
            </w:r>
          </w:p>
        </w:tc>
      </w:tr>
      <w:tr w:rsidR="008C28C4" w:rsidRPr="008C28C4" w14:paraId="25DE638E"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FFC2D5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10PE-00-UPS</w:t>
            </w:r>
          </w:p>
        </w:tc>
        <w:tc>
          <w:tcPr>
            <w:tcW w:w="0" w:type="auto"/>
            <w:tcBorders>
              <w:right w:val="single" w:sz="12" w:space="0" w:color="E6E6E6"/>
            </w:tcBorders>
            <w:shd w:val="clear" w:color="auto" w:fill="FFFFFF"/>
            <w:tcMar>
              <w:top w:w="120" w:type="dxa"/>
              <w:left w:w="150" w:type="dxa"/>
              <w:bottom w:w="120" w:type="dxa"/>
              <w:right w:w="150" w:type="dxa"/>
            </w:tcMar>
            <w:hideMark/>
          </w:tcPr>
          <w:p w14:paraId="0865965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Supply, Uninterruptible Power (UPS)</w:t>
            </w:r>
          </w:p>
        </w:tc>
        <w:tc>
          <w:tcPr>
            <w:tcW w:w="0" w:type="auto"/>
            <w:tcBorders>
              <w:right w:val="single" w:sz="12" w:space="0" w:color="E6E6E6"/>
            </w:tcBorders>
            <w:shd w:val="clear" w:color="auto" w:fill="FFFFFF"/>
            <w:tcMar>
              <w:top w:w="120" w:type="dxa"/>
              <w:left w:w="150" w:type="dxa"/>
              <w:bottom w:w="120" w:type="dxa"/>
              <w:right w:w="150" w:type="dxa"/>
            </w:tcMar>
            <w:hideMark/>
          </w:tcPr>
          <w:p w14:paraId="3C445E3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that compensate for power loss to serviced equipment (e.g., short-duration battery devices, standby generator devices for longer duration).</w:t>
            </w:r>
          </w:p>
        </w:tc>
      </w:tr>
      <w:tr w:rsidR="008C28C4" w:rsidRPr="008C28C4" w14:paraId="44829B4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5F9E0BB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14CI-00-COOP</w:t>
            </w:r>
          </w:p>
        </w:tc>
        <w:tc>
          <w:tcPr>
            <w:tcW w:w="0" w:type="auto"/>
            <w:tcBorders>
              <w:right w:val="single" w:sz="12" w:space="0" w:color="E6E6E6"/>
            </w:tcBorders>
            <w:shd w:val="clear" w:color="auto" w:fill="FFFFFF"/>
            <w:tcMar>
              <w:top w:w="120" w:type="dxa"/>
              <w:left w:w="150" w:type="dxa"/>
              <w:bottom w:w="120" w:type="dxa"/>
              <w:right w:w="150" w:type="dxa"/>
            </w:tcMar>
            <w:hideMark/>
          </w:tcPr>
          <w:p w14:paraId="4D33354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Information Technology Contingency Operations</w:t>
            </w:r>
          </w:p>
        </w:tc>
        <w:tc>
          <w:tcPr>
            <w:tcW w:w="0" w:type="auto"/>
            <w:tcBorders>
              <w:right w:val="single" w:sz="12" w:space="0" w:color="E6E6E6"/>
            </w:tcBorders>
            <w:shd w:val="clear" w:color="auto" w:fill="FFFFFF"/>
            <w:tcMar>
              <w:top w:w="120" w:type="dxa"/>
              <w:left w:w="150" w:type="dxa"/>
              <w:bottom w:w="120" w:type="dxa"/>
              <w:right w:w="150" w:type="dxa"/>
            </w:tcMar>
            <w:hideMark/>
          </w:tcPr>
          <w:p w14:paraId="408EE20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Back-up computer hardware, operating systems, data storage, and application software necessary to provide a working environment for contingency operations. May be a purchased as a remote service or a dedicated alternate operating site.</w:t>
            </w:r>
          </w:p>
        </w:tc>
      </w:tr>
      <w:tr w:rsidR="008C28C4" w:rsidRPr="008C28C4" w14:paraId="4E88FC6B"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18B15F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14EX-00-BCAN</w:t>
            </w:r>
          </w:p>
        </w:tc>
        <w:tc>
          <w:tcPr>
            <w:tcW w:w="0" w:type="auto"/>
            <w:tcBorders>
              <w:right w:val="single" w:sz="12" w:space="0" w:color="E6E6E6"/>
            </w:tcBorders>
            <w:shd w:val="clear" w:color="auto" w:fill="FFFFFF"/>
            <w:tcMar>
              <w:top w:w="120" w:type="dxa"/>
              <w:left w:w="150" w:type="dxa"/>
              <w:bottom w:w="120" w:type="dxa"/>
              <w:right w:w="150" w:type="dxa"/>
            </w:tcMar>
            <w:hideMark/>
          </w:tcPr>
          <w:p w14:paraId="2FD62FD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Receptacles, Trash, Blast-Resistant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46F560A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Blast-resistant trash receptacles.</w:t>
            </w:r>
          </w:p>
        </w:tc>
      </w:tr>
      <w:tr w:rsidR="008C28C4" w:rsidRPr="008C28C4" w14:paraId="6A45222B"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8487F5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14EX-00-BSIR</w:t>
            </w:r>
          </w:p>
        </w:tc>
        <w:tc>
          <w:tcPr>
            <w:tcW w:w="0" w:type="auto"/>
            <w:tcBorders>
              <w:right w:val="single" w:sz="12" w:space="0" w:color="E6E6E6"/>
            </w:tcBorders>
            <w:shd w:val="clear" w:color="auto" w:fill="FFFFFF"/>
            <w:tcMar>
              <w:top w:w="120" w:type="dxa"/>
              <w:left w:w="150" w:type="dxa"/>
              <w:bottom w:w="120" w:type="dxa"/>
              <w:right w:w="150" w:type="dxa"/>
            </w:tcMar>
            <w:hideMark/>
          </w:tcPr>
          <w:p w14:paraId="104A311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Building, Blast/Shock/Impact 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0949AB8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to mitigate damage from blasts, shocks, or impacts, such as column and surface wraps, wall coverings, portable or fix ballistic boards/barriers, breakage/shatter resistant glass, window wraps/films/velums, etc.</w:t>
            </w:r>
          </w:p>
        </w:tc>
      </w:tr>
      <w:tr w:rsidR="008C28C4" w:rsidRPr="008C28C4" w14:paraId="2AA36144"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93CAF33"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14SW-01-ALRM</w:t>
            </w:r>
          </w:p>
        </w:tc>
        <w:tc>
          <w:tcPr>
            <w:tcW w:w="0" w:type="auto"/>
            <w:tcBorders>
              <w:right w:val="single" w:sz="12" w:space="0" w:color="E6E6E6"/>
            </w:tcBorders>
            <w:shd w:val="clear" w:color="auto" w:fill="FFFFFF"/>
            <w:tcMar>
              <w:top w:w="120" w:type="dxa"/>
              <w:left w:w="150" w:type="dxa"/>
              <w:bottom w:w="120" w:type="dxa"/>
              <w:right w:w="150" w:type="dxa"/>
            </w:tcMar>
            <w:hideMark/>
          </w:tcPr>
          <w:p w14:paraId="281A20BA"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Systems/Sensors, Alarm</w:t>
            </w:r>
          </w:p>
        </w:tc>
        <w:tc>
          <w:tcPr>
            <w:tcW w:w="0" w:type="auto"/>
            <w:tcBorders>
              <w:right w:val="single" w:sz="12" w:space="0" w:color="E6E6E6"/>
            </w:tcBorders>
            <w:shd w:val="clear" w:color="auto" w:fill="FFFFFF"/>
            <w:tcMar>
              <w:top w:w="120" w:type="dxa"/>
              <w:left w:w="150" w:type="dxa"/>
              <w:bottom w:w="120" w:type="dxa"/>
              <w:right w:w="150" w:type="dxa"/>
            </w:tcMar>
            <w:hideMark/>
          </w:tcPr>
          <w:p w14:paraId="0D665A5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 xml:space="preserve">Systems and standalone sensors </w:t>
            </w:r>
            <w:proofErr w:type="gramStart"/>
            <w:r w:rsidRPr="008C28C4">
              <w:rPr>
                <w:rFonts w:ascii="Source Sans Pro" w:eastAsia="Times New Roman" w:hAnsi="Source Sans Pro" w:cs="Times New Roman"/>
                <w:color w:val="1B1B1B"/>
                <w:kern w:val="0"/>
                <w14:ligatures w14:val="none"/>
              </w:rPr>
              <w:t>designed</w:t>
            </w:r>
            <w:proofErr w:type="gramEnd"/>
            <w:r w:rsidRPr="008C28C4">
              <w:rPr>
                <w:rFonts w:ascii="Source Sans Pro" w:eastAsia="Times New Roman" w:hAnsi="Source Sans Pro" w:cs="Times New Roman"/>
                <w:color w:val="1B1B1B"/>
                <w:kern w:val="0"/>
                <w14:ligatures w14:val="none"/>
              </w:rPr>
              <w:t xml:space="preserve"> to detect access violations or intrusions using sensors such as door/window switches, motion sensors, acoustic sensors, seismic sensors, and thermal sensors. May also include temperature sensors for critical areas.</w:t>
            </w:r>
          </w:p>
        </w:tc>
      </w:tr>
      <w:tr w:rsidR="008C28C4" w:rsidRPr="008C28C4" w14:paraId="41EEFA17"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58D73C0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14SW-01-ASTN</w:t>
            </w:r>
          </w:p>
        </w:tc>
        <w:tc>
          <w:tcPr>
            <w:tcW w:w="0" w:type="auto"/>
            <w:tcBorders>
              <w:right w:val="single" w:sz="12" w:space="0" w:color="E6E6E6"/>
            </w:tcBorders>
            <w:shd w:val="clear" w:color="auto" w:fill="FFFFFF"/>
            <w:tcMar>
              <w:top w:w="120" w:type="dxa"/>
              <w:left w:w="150" w:type="dxa"/>
              <w:bottom w:w="120" w:type="dxa"/>
              <w:right w:w="150" w:type="dxa"/>
            </w:tcMar>
            <w:hideMark/>
          </w:tcPr>
          <w:p w14:paraId="5425C51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Network, Acoustic Sensor Triangulation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4806A4D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 xml:space="preserve">Network of deployed acoustic sensors and one or more processing nodes for data integration and analysis. Such networks can be set to one or more ranges of frequencies to detect sounds such as gunshots, heavy weapons discharge, explosions, man-portable air defense system launches, vehicle noises, etc., and utilize acoustic </w:t>
            </w:r>
            <w:r w:rsidRPr="008C28C4">
              <w:rPr>
                <w:rFonts w:ascii="Source Sans Pro" w:eastAsia="Times New Roman" w:hAnsi="Source Sans Pro" w:cs="Times New Roman"/>
                <w:color w:val="1B1B1B"/>
                <w:kern w:val="0"/>
                <w14:ligatures w14:val="none"/>
              </w:rPr>
              <w:lastRenderedPageBreak/>
              <w:t>triangulation to provide accurate location data. Such networks can be wired, wireless, or hybrid, and are capable of operation near critical infrastructure assets or in wide areas.</w:t>
            </w:r>
          </w:p>
        </w:tc>
      </w:tr>
      <w:tr w:rsidR="008C28C4" w:rsidRPr="008C28C4" w14:paraId="73BEEAA6"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07FD155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lastRenderedPageBreak/>
              <w:t>14SW-01-DOOR</w:t>
            </w:r>
          </w:p>
        </w:tc>
        <w:tc>
          <w:tcPr>
            <w:tcW w:w="0" w:type="auto"/>
            <w:tcBorders>
              <w:right w:val="single" w:sz="12" w:space="0" w:color="E6E6E6"/>
            </w:tcBorders>
            <w:shd w:val="clear" w:color="auto" w:fill="FFFFFF"/>
            <w:tcMar>
              <w:top w:w="120" w:type="dxa"/>
              <w:left w:w="150" w:type="dxa"/>
              <w:bottom w:w="120" w:type="dxa"/>
              <w:right w:w="150" w:type="dxa"/>
            </w:tcMar>
            <w:hideMark/>
          </w:tcPr>
          <w:p w14:paraId="1329051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Doors and Gates, Impact Resistant</w:t>
            </w:r>
          </w:p>
        </w:tc>
        <w:tc>
          <w:tcPr>
            <w:tcW w:w="0" w:type="auto"/>
            <w:tcBorders>
              <w:right w:val="single" w:sz="12" w:space="0" w:color="E6E6E6"/>
            </w:tcBorders>
            <w:shd w:val="clear" w:color="auto" w:fill="FFFFFF"/>
            <w:tcMar>
              <w:top w:w="120" w:type="dxa"/>
              <w:left w:w="150" w:type="dxa"/>
              <w:bottom w:w="120" w:type="dxa"/>
              <w:right w:w="150" w:type="dxa"/>
            </w:tcMar>
            <w:hideMark/>
          </w:tcPr>
          <w:p w14:paraId="27B55D0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Reinforced doors and gates with increased resistance to external impact for increased physical security.</w:t>
            </w:r>
          </w:p>
        </w:tc>
      </w:tr>
      <w:tr w:rsidR="008C28C4" w:rsidRPr="008C28C4" w14:paraId="0E14AA6C"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E3CCDF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14SW-01-LITE</w:t>
            </w:r>
          </w:p>
        </w:tc>
        <w:tc>
          <w:tcPr>
            <w:tcW w:w="0" w:type="auto"/>
            <w:tcBorders>
              <w:right w:val="single" w:sz="12" w:space="0" w:color="E6E6E6"/>
            </w:tcBorders>
            <w:shd w:val="clear" w:color="auto" w:fill="FFFFFF"/>
            <w:tcMar>
              <w:top w:w="120" w:type="dxa"/>
              <w:left w:w="150" w:type="dxa"/>
              <w:bottom w:w="120" w:type="dxa"/>
              <w:right w:w="150" w:type="dxa"/>
            </w:tcMar>
            <w:hideMark/>
          </w:tcPr>
          <w:p w14:paraId="7DB6CA68"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Lighting, Area, Fixed</w:t>
            </w:r>
          </w:p>
        </w:tc>
        <w:tc>
          <w:tcPr>
            <w:tcW w:w="0" w:type="auto"/>
            <w:tcBorders>
              <w:right w:val="single" w:sz="12" w:space="0" w:color="E6E6E6"/>
            </w:tcBorders>
            <w:shd w:val="clear" w:color="auto" w:fill="FFFFFF"/>
            <w:tcMar>
              <w:top w:w="120" w:type="dxa"/>
              <w:left w:w="150" w:type="dxa"/>
              <w:bottom w:w="120" w:type="dxa"/>
              <w:right w:w="150" w:type="dxa"/>
            </w:tcMar>
            <w:hideMark/>
          </w:tcPr>
          <w:p w14:paraId="687FE8D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Fixed high-intensity lighting systems for improved visibility in areas such as building perimeters, parking lots, and other critical zones to increase physical security.</w:t>
            </w:r>
          </w:p>
        </w:tc>
      </w:tr>
      <w:tr w:rsidR="008C28C4" w:rsidRPr="008C28C4" w14:paraId="0529A593"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49DA9FB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14SW-01-PACS</w:t>
            </w:r>
          </w:p>
        </w:tc>
        <w:tc>
          <w:tcPr>
            <w:tcW w:w="0" w:type="auto"/>
            <w:tcBorders>
              <w:right w:val="single" w:sz="12" w:space="0" w:color="E6E6E6"/>
            </w:tcBorders>
            <w:shd w:val="clear" w:color="auto" w:fill="FFFFFF"/>
            <w:tcMar>
              <w:top w:w="120" w:type="dxa"/>
              <w:left w:w="150" w:type="dxa"/>
              <w:bottom w:w="120" w:type="dxa"/>
              <w:right w:w="150" w:type="dxa"/>
            </w:tcMar>
            <w:hideMark/>
          </w:tcPr>
          <w:p w14:paraId="632D1474"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 Physical Access Control</w:t>
            </w:r>
          </w:p>
        </w:tc>
        <w:tc>
          <w:tcPr>
            <w:tcW w:w="0" w:type="auto"/>
            <w:tcBorders>
              <w:right w:val="single" w:sz="12" w:space="0" w:color="E6E6E6"/>
            </w:tcBorders>
            <w:shd w:val="clear" w:color="auto" w:fill="FFFFFF"/>
            <w:tcMar>
              <w:top w:w="120" w:type="dxa"/>
              <w:left w:w="150" w:type="dxa"/>
              <w:bottom w:w="120" w:type="dxa"/>
              <w:right w:w="150" w:type="dxa"/>
            </w:tcMar>
            <w:hideMark/>
          </w:tcPr>
          <w:p w14:paraId="5376871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Locking devices and entry systems for control of physical access to facilities.</w:t>
            </w:r>
          </w:p>
        </w:tc>
      </w:tr>
      <w:tr w:rsidR="008C28C4" w:rsidRPr="008C28C4" w14:paraId="3D99987D"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9C1A39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14SW-01-SIDP</w:t>
            </w:r>
          </w:p>
        </w:tc>
        <w:tc>
          <w:tcPr>
            <w:tcW w:w="0" w:type="auto"/>
            <w:tcBorders>
              <w:right w:val="single" w:sz="12" w:space="0" w:color="E6E6E6"/>
            </w:tcBorders>
            <w:shd w:val="clear" w:color="auto" w:fill="FFFFFF"/>
            <w:tcMar>
              <w:top w:w="120" w:type="dxa"/>
              <w:left w:w="150" w:type="dxa"/>
              <w:bottom w:w="120" w:type="dxa"/>
              <w:right w:w="150" w:type="dxa"/>
            </w:tcMar>
            <w:hideMark/>
          </w:tcPr>
          <w:p w14:paraId="04AC96C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Personnel Identification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6C20B3AB"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for positive identification of personnel as a prerequisite for entering restricted areas or accessing information systems.</w:t>
            </w:r>
          </w:p>
        </w:tc>
      </w:tr>
      <w:tr w:rsidR="008C28C4" w:rsidRPr="008C28C4" w14:paraId="7BDE0B99"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487BC68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14SW-01-SIDV</w:t>
            </w:r>
          </w:p>
        </w:tc>
        <w:tc>
          <w:tcPr>
            <w:tcW w:w="0" w:type="auto"/>
            <w:tcBorders>
              <w:right w:val="single" w:sz="12" w:space="0" w:color="E6E6E6"/>
            </w:tcBorders>
            <w:shd w:val="clear" w:color="auto" w:fill="FFFFFF"/>
            <w:tcMar>
              <w:top w:w="120" w:type="dxa"/>
              <w:left w:w="150" w:type="dxa"/>
              <w:bottom w:w="120" w:type="dxa"/>
              <w:right w:w="150" w:type="dxa"/>
            </w:tcMar>
            <w:hideMark/>
          </w:tcPr>
          <w:p w14:paraId="4F7B2D9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Vehicle Identification</w:t>
            </w:r>
          </w:p>
        </w:tc>
        <w:tc>
          <w:tcPr>
            <w:tcW w:w="0" w:type="auto"/>
            <w:tcBorders>
              <w:right w:val="single" w:sz="12" w:space="0" w:color="E6E6E6"/>
            </w:tcBorders>
            <w:shd w:val="clear" w:color="auto" w:fill="FFFFFF"/>
            <w:tcMar>
              <w:top w:w="120" w:type="dxa"/>
              <w:left w:w="150" w:type="dxa"/>
              <w:bottom w:w="120" w:type="dxa"/>
              <w:right w:w="150" w:type="dxa"/>
            </w:tcMar>
            <w:hideMark/>
          </w:tcPr>
          <w:p w14:paraId="438FB9F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for identification of vehicles, ranging from decals to radio frequency identification or other transponder devices. (License plate reader and facial recognition software are NOT allowed.)</w:t>
            </w:r>
          </w:p>
        </w:tc>
      </w:tr>
      <w:tr w:rsidR="008C28C4" w:rsidRPr="008C28C4" w14:paraId="6B326277"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106FE8B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14SW-01-SNSR</w:t>
            </w:r>
          </w:p>
        </w:tc>
        <w:tc>
          <w:tcPr>
            <w:tcW w:w="0" w:type="auto"/>
            <w:tcBorders>
              <w:right w:val="single" w:sz="12" w:space="0" w:color="E6E6E6"/>
            </w:tcBorders>
            <w:shd w:val="clear" w:color="auto" w:fill="FFFFFF"/>
            <w:tcMar>
              <w:top w:w="120" w:type="dxa"/>
              <w:left w:w="150" w:type="dxa"/>
              <w:bottom w:w="120" w:type="dxa"/>
              <w:right w:w="150" w:type="dxa"/>
            </w:tcMar>
            <w:hideMark/>
          </w:tcPr>
          <w:p w14:paraId="304073C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 xml:space="preserve">Sensors/Alarms, </w:t>
            </w:r>
            <w:proofErr w:type="gramStart"/>
            <w:r w:rsidRPr="008C28C4">
              <w:rPr>
                <w:rFonts w:ascii="Source Sans Pro" w:eastAsia="Times New Roman" w:hAnsi="Source Sans Pro" w:cs="Times New Roman"/>
                <w:color w:val="1B1B1B"/>
                <w:kern w:val="0"/>
                <w14:ligatures w14:val="none"/>
              </w:rPr>
              <w:t>System</w:t>
            </w:r>
            <w:proofErr w:type="gramEnd"/>
            <w:r w:rsidRPr="008C28C4">
              <w:rPr>
                <w:rFonts w:ascii="Source Sans Pro" w:eastAsia="Times New Roman" w:hAnsi="Source Sans Pro" w:cs="Times New Roman"/>
                <w:color w:val="1B1B1B"/>
                <w:kern w:val="0"/>
                <w14:ligatures w14:val="none"/>
              </w:rPr>
              <w:t xml:space="preserve"> and Infrastructure Monitoring, Standalone</w:t>
            </w:r>
          </w:p>
        </w:tc>
        <w:tc>
          <w:tcPr>
            <w:tcW w:w="0" w:type="auto"/>
            <w:tcBorders>
              <w:right w:val="single" w:sz="12" w:space="0" w:color="E6E6E6"/>
            </w:tcBorders>
            <w:shd w:val="clear" w:color="auto" w:fill="FFFFFF"/>
            <w:tcMar>
              <w:top w:w="120" w:type="dxa"/>
              <w:left w:w="150" w:type="dxa"/>
              <w:bottom w:w="120" w:type="dxa"/>
              <w:right w:w="150" w:type="dxa"/>
            </w:tcMar>
            <w:hideMark/>
          </w:tcPr>
          <w:p w14:paraId="33A5657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Standalone sensors/alarms for use on critical systems or infrastructure items (e.g., security systems, power supplies, etc.) to provide warning when these systems fail or are near failure.</w:t>
            </w:r>
          </w:p>
        </w:tc>
      </w:tr>
      <w:tr w:rsidR="008C28C4" w:rsidRPr="008C28C4" w14:paraId="5503BAFC"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06F86014"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14SW-01-VIDA</w:t>
            </w:r>
          </w:p>
        </w:tc>
        <w:tc>
          <w:tcPr>
            <w:tcW w:w="0" w:type="auto"/>
            <w:tcBorders>
              <w:right w:val="single" w:sz="12" w:space="0" w:color="E6E6E6"/>
            </w:tcBorders>
            <w:shd w:val="clear" w:color="auto" w:fill="FFFFFF"/>
            <w:tcMar>
              <w:top w:w="120" w:type="dxa"/>
              <w:left w:w="150" w:type="dxa"/>
              <w:bottom w:w="120" w:type="dxa"/>
              <w:right w:w="150" w:type="dxa"/>
            </w:tcMar>
            <w:hideMark/>
          </w:tcPr>
          <w:p w14:paraId="018A81A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Video Assessment, Security</w:t>
            </w:r>
          </w:p>
        </w:tc>
        <w:tc>
          <w:tcPr>
            <w:tcW w:w="0" w:type="auto"/>
            <w:tcBorders>
              <w:right w:val="single" w:sz="12" w:space="0" w:color="E6E6E6"/>
            </w:tcBorders>
            <w:shd w:val="clear" w:color="auto" w:fill="FFFFFF"/>
            <w:tcMar>
              <w:top w:w="120" w:type="dxa"/>
              <w:left w:w="150" w:type="dxa"/>
              <w:bottom w:w="120" w:type="dxa"/>
              <w:right w:w="150" w:type="dxa"/>
            </w:tcMar>
            <w:hideMark/>
          </w:tcPr>
          <w:p w14:paraId="399CF22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Camera-based security systems utilizing standard, low light, or infrared technology. (License plate reader and facial recognition software are NOT allowed.)</w:t>
            </w:r>
          </w:p>
        </w:tc>
      </w:tr>
      <w:tr w:rsidR="008C28C4" w:rsidRPr="008C28C4" w14:paraId="686C889B"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0B29268C"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14SW-01-WALL</w:t>
            </w:r>
          </w:p>
        </w:tc>
        <w:tc>
          <w:tcPr>
            <w:tcW w:w="0" w:type="auto"/>
            <w:tcBorders>
              <w:right w:val="single" w:sz="12" w:space="0" w:color="E6E6E6"/>
            </w:tcBorders>
            <w:shd w:val="clear" w:color="auto" w:fill="FFFFFF"/>
            <w:tcMar>
              <w:top w:w="120" w:type="dxa"/>
              <w:left w:w="150" w:type="dxa"/>
              <w:bottom w:w="120" w:type="dxa"/>
              <w:right w:w="150" w:type="dxa"/>
            </w:tcMar>
            <w:hideMark/>
          </w:tcPr>
          <w:p w14:paraId="44B889E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Barriers: Fences; Jersey Walls</w:t>
            </w:r>
          </w:p>
        </w:tc>
        <w:tc>
          <w:tcPr>
            <w:tcW w:w="0" w:type="auto"/>
            <w:tcBorders>
              <w:right w:val="single" w:sz="12" w:space="0" w:color="E6E6E6"/>
            </w:tcBorders>
            <w:shd w:val="clear" w:color="auto" w:fill="FFFFFF"/>
            <w:tcMar>
              <w:top w:w="120" w:type="dxa"/>
              <w:left w:w="150" w:type="dxa"/>
              <w:bottom w:w="120" w:type="dxa"/>
              <w:right w:w="150" w:type="dxa"/>
            </w:tcMar>
            <w:hideMark/>
          </w:tcPr>
          <w:p w14:paraId="768F0981"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Obstacles designed to channel or halt pedestrian or vehicle-borne traffic to protect a physical asset or facility such as barriers, bollards, planters, benches etc. (Earthen barriers, berms, trees, or other botanical obstacles are NOT allowed.)</w:t>
            </w:r>
          </w:p>
        </w:tc>
      </w:tr>
      <w:tr w:rsidR="008C28C4" w:rsidRPr="008C28C4" w14:paraId="73CF8901"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6C18E2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lastRenderedPageBreak/>
              <w:t>15SC-00-PPSS</w:t>
            </w:r>
          </w:p>
        </w:tc>
        <w:tc>
          <w:tcPr>
            <w:tcW w:w="0" w:type="auto"/>
            <w:tcBorders>
              <w:right w:val="single" w:sz="12" w:space="0" w:color="E6E6E6"/>
            </w:tcBorders>
            <w:shd w:val="clear" w:color="auto" w:fill="FFFFFF"/>
            <w:tcMar>
              <w:top w:w="120" w:type="dxa"/>
              <w:left w:w="150" w:type="dxa"/>
              <w:bottom w:w="120" w:type="dxa"/>
              <w:right w:w="150" w:type="dxa"/>
            </w:tcMar>
            <w:hideMark/>
          </w:tcPr>
          <w:p w14:paraId="6A767070"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Systems, Personnel/Package Screening</w:t>
            </w:r>
          </w:p>
        </w:tc>
        <w:tc>
          <w:tcPr>
            <w:tcW w:w="0" w:type="auto"/>
            <w:tcBorders>
              <w:right w:val="single" w:sz="12" w:space="0" w:color="E6E6E6"/>
            </w:tcBorders>
            <w:shd w:val="clear" w:color="auto" w:fill="FFFFFF"/>
            <w:tcMar>
              <w:top w:w="120" w:type="dxa"/>
              <w:left w:w="150" w:type="dxa"/>
              <w:bottom w:w="120" w:type="dxa"/>
              <w:right w:w="150" w:type="dxa"/>
            </w:tcMar>
            <w:hideMark/>
          </w:tcPr>
          <w:p w14:paraId="5CC45A78"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Hand-held or fixed systems such as walk-through magnetometers used to screen personnel and packages for hazardous materials/devices.</w:t>
            </w:r>
          </w:p>
        </w:tc>
      </w:tr>
      <w:tr w:rsidR="008C28C4" w:rsidRPr="008C28C4" w14:paraId="331A7DD5"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7BC7DC4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21GN-00-INST</w:t>
            </w:r>
          </w:p>
        </w:tc>
        <w:tc>
          <w:tcPr>
            <w:tcW w:w="0" w:type="auto"/>
            <w:tcBorders>
              <w:right w:val="single" w:sz="12" w:space="0" w:color="E6E6E6"/>
            </w:tcBorders>
            <w:shd w:val="clear" w:color="auto" w:fill="FFFFFF"/>
            <w:tcMar>
              <w:top w:w="120" w:type="dxa"/>
              <w:left w:w="150" w:type="dxa"/>
              <w:bottom w:w="120" w:type="dxa"/>
              <w:right w:w="150" w:type="dxa"/>
            </w:tcMar>
            <w:hideMark/>
          </w:tcPr>
          <w:p w14:paraId="3D5A85C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Installation </w:t>
            </w:r>
          </w:p>
        </w:tc>
        <w:tc>
          <w:tcPr>
            <w:tcW w:w="0" w:type="auto"/>
            <w:tcBorders>
              <w:right w:val="single" w:sz="12" w:space="0" w:color="E6E6E6"/>
            </w:tcBorders>
            <w:shd w:val="clear" w:color="auto" w:fill="FFFFFF"/>
            <w:tcMar>
              <w:top w:w="120" w:type="dxa"/>
              <w:left w:w="150" w:type="dxa"/>
              <w:bottom w:w="120" w:type="dxa"/>
              <w:right w:w="150" w:type="dxa"/>
            </w:tcMar>
            <w:hideMark/>
          </w:tcPr>
          <w:p w14:paraId="54CC0CF9"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Installation costs for authorized equipment purchased through FEMA grants.</w:t>
            </w:r>
          </w:p>
        </w:tc>
      </w:tr>
      <w:tr w:rsidR="008C28C4" w:rsidRPr="008C28C4" w14:paraId="2785760D"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1A5A11E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21GN-00-TRNG</w:t>
            </w:r>
          </w:p>
        </w:tc>
        <w:tc>
          <w:tcPr>
            <w:tcW w:w="0" w:type="auto"/>
            <w:tcBorders>
              <w:right w:val="single" w:sz="12" w:space="0" w:color="E6E6E6"/>
            </w:tcBorders>
            <w:shd w:val="clear" w:color="auto" w:fill="FFFFFF"/>
            <w:tcMar>
              <w:top w:w="120" w:type="dxa"/>
              <w:left w:w="150" w:type="dxa"/>
              <w:bottom w:w="120" w:type="dxa"/>
              <w:right w:w="150" w:type="dxa"/>
            </w:tcMar>
            <w:hideMark/>
          </w:tcPr>
          <w:p w14:paraId="0C6D5CE7"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Training and Awareness</w:t>
            </w:r>
          </w:p>
        </w:tc>
        <w:tc>
          <w:tcPr>
            <w:tcW w:w="0" w:type="auto"/>
            <w:tcBorders>
              <w:right w:val="single" w:sz="12" w:space="0" w:color="E6E6E6"/>
            </w:tcBorders>
            <w:shd w:val="clear" w:color="auto" w:fill="FFFFFF"/>
            <w:tcMar>
              <w:top w:w="120" w:type="dxa"/>
              <w:left w:w="150" w:type="dxa"/>
              <w:bottom w:w="120" w:type="dxa"/>
              <w:right w:w="150" w:type="dxa"/>
            </w:tcMar>
            <w:hideMark/>
          </w:tcPr>
          <w:p w14:paraId="5A91D42C"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See Section D.12.f.iv “Training and Exercises”</w:t>
            </w:r>
          </w:p>
        </w:tc>
      </w:tr>
    </w:tbl>
    <w:p w14:paraId="56AB47B6" w14:textId="77777777" w:rsidR="00022EBA" w:rsidRDefault="00022EBA"/>
    <w:p w14:paraId="1673EB12" w14:textId="0119F267" w:rsidR="008C28C4" w:rsidRDefault="008C28C4">
      <w:pPr>
        <w:rPr>
          <w:rFonts w:ascii="Source Sans Pro" w:hAnsi="Source Sans Pro"/>
          <w:color w:val="1B1B1B"/>
          <w:sz w:val="26"/>
          <w:szCs w:val="26"/>
          <w:shd w:val="clear" w:color="auto" w:fill="FFFFFF"/>
        </w:rPr>
      </w:pPr>
      <w:r>
        <w:rPr>
          <w:rFonts w:ascii="Source Sans Pro" w:hAnsi="Source Sans Pro"/>
          <w:color w:val="1B1B1B"/>
          <w:sz w:val="26"/>
          <w:szCs w:val="26"/>
          <w:shd w:val="clear" w:color="auto" w:fill="FFFFFF"/>
        </w:rPr>
        <w:t>Other dropdowns in the Section IV-B of IJ, while not part of the AEL, include the following:</w:t>
      </w:r>
    </w:p>
    <w:tbl>
      <w:tblPr>
        <w:tblW w:w="9300" w:type="dxa"/>
        <w:tblBorders>
          <w:top w:val="single" w:sz="12" w:space="0" w:color="E6E6E6"/>
          <w:left w:val="single" w:sz="12" w:space="0" w:color="E6E6E6"/>
          <w:bottom w:val="single" w:sz="12" w:space="0" w:color="E6E6E6"/>
          <w:right w:val="single" w:sz="12" w:space="0" w:color="E6E6E6"/>
        </w:tblBorders>
        <w:shd w:val="clear" w:color="auto" w:fill="FFFFFF"/>
        <w:tblCellMar>
          <w:left w:w="0" w:type="dxa"/>
          <w:right w:w="0" w:type="dxa"/>
        </w:tblCellMar>
        <w:tblLook w:val="04A0" w:firstRow="1" w:lastRow="0" w:firstColumn="1" w:lastColumn="0" w:noHBand="0" w:noVBand="1"/>
      </w:tblPr>
      <w:tblGrid>
        <w:gridCol w:w="1664"/>
        <w:gridCol w:w="3372"/>
        <w:gridCol w:w="4264"/>
      </w:tblGrid>
      <w:tr w:rsidR="008C28C4" w:rsidRPr="008C28C4" w14:paraId="2EA4371D" w14:textId="77777777" w:rsidTr="008C28C4">
        <w:trPr>
          <w:tblHeader/>
        </w:trPr>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48CCEA0D"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–Code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783BC019"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Title</w:t>
            </w:r>
          </w:p>
        </w:tc>
        <w:tc>
          <w:tcPr>
            <w:tcW w:w="0" w:type="auto"/>
            <w:tcBorders>
              <w:bottom w:val="single" w:sz="12" w:space="0" w:color="E6E6E6"/>
              <w:right w:val="single" w:sz="12" w:space="0" w:color="E6E6E6"/>
            </w:tcBorders>
            <w:shd w:val="clear" w:color="auto" w:fill="F8F8FA"/>
            <w:tcMar>
              <w:top w:w="150" w:type="dxa"/>
              <w:left w:w="150" w:type="dxa"/>
              <w:bottom w:w="150" w:type="dxa"/>
              <w:right w:w="150" w:type="dxa"/>
            </w:tcMar>
            <w:vAlign w:val="center"/>
            <w:hideMark/>
          </w:tcPr>
          <w:p w14:paraId="274574F2" w14:textId="77777777" w:rsidR="008C28C4" w:rsidRPr="008C28C4" w:rsidRDefault="008C28C4" w:rsidP="008C28C4">
            <w:pPr>
              <w:spacing w:after="0" w:line="240" w:lineRule="auto"/>
              <w:rPr>
                <w:rFonts w:ascii="Source Sans Pro" w:eastAsia="Times New Roman" w:hAnsi="Source Sans Pro" w:cs="Times New Roman"/>
                <w:b/>
                <w:bCs/>
                <w:color w:val="1B1B1B"/>
                <w:kern w:val="0"/>
                <w:sz w:val="20"/>
                <w:szCs w:val="20"/>
                <w14:ligatures w14:val="none"/>
              </w:rPr>
            </w:pPr>
            <w:r w:rsidRPr="008C28C4">
              <w:rPr>
                <w:rFonts w:ascii="Source Sans Pro" w:eastAsia="Times New Roman" w:hAnsi="Source Sans Pro" w:cs="Times New Roman"/>
                <w:b/>
                <w:bCs/>
                <w:color w:val="1B1B1B"/>
                <w:kern w:val="0"/>
                <w:sz w:val="20"/>
                <w:szCs w:val="20"/>
                <w14:ligatures w14:val="none"/>
              </w:rPr>
              <w:t>Description</w:t>
            </w:r>
          </w:p>
        </w:tc>
      </w:tr>
      <w:tr w:rsidR="008C28C4" w:rsidRPr="008C28C4" w14:paraId="4E4E0DBD"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6CE32D2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Contract Security</w:t>
            </w:r>
          </w:p>
        </w:tc>
        <w:tc>
          <w:tcPr>
            <w:tcW w:w="0" w:type="auto"/>
            <w:tcBorders>
              <w:right w:val="single" w:sz="12" w:space="0" w:color="E6E6E6"/>
            </w:tcBorders>
            <w:shd w:val="clear" w:color="auto" w:fill="FFFFFF"/>
            <w:tcMar>
              <w:top w:w="120" w:type="dxa"/>
              <w:left w:w="150" w:type="dxa"/>
              <w:bottom w:w="120" w:type="dxa"/>
              <w:right w:w="150" w:type="dxa"/>
            </w:tcMar>
            <w:hideMark/>
          </w:tcPr>
          <w:p w14:paraId="6247EDEF"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Private Contact Security Personnel/Guards</w:t>
            </w:r>
          </w:p>
        </w:tc>
        <w:tc>
          <w:tcPr>
            <w:tcW w:w="0" w:type="auto"/>
            <w:tcBorders>
              <w:right w:val="single" w:sz="12" w:space="0" w:color="E6E6E6"/>
            </w:tcBorders>
            <w:shd w:val="clear" w:color="auto" w:fill="FFFFFF"/>
            <w:tcMar>
              <w:top w:w="120" w:type="dxa"/>
              <w:left w:w="150" w:type="dxa"/>
              <w:bottom w:w="120" w:type="dxa"/>
              <w:right w:w="150" w:type="dxa"/>
            </w:tcMar>
            <w:hideMark/>
          </w:tcPr>
          <w:p w14:paraId="7C7FCFA6"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See Section D.12.f.vii “Contracted Security Personnel”</w:t>
            </w:r>
          </w:p>
        </w:tc>
      </w:tr>
      <w:tr w:rsidR="008C28C4" w:rsidRPr="008C28C4" w14:paraId="616362D2"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2371DE02"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M&amp;A</w:t>
            </w:r>
          </w:p>
        </w:tc>
        <w:tc>
          <w:tcPr>
            <w:tcW w:w="0" w:type="auto"/>
            <w:tcBorders>
              <w:right w:val="single" w:sz="12" w:space="0" w:color="E6E6E6"/>
            </w:tcBorders>
            <w:shd w:val="clear" w:color="auto" w:fill="FFFFFF"/>
            <w:tcMar>
              <w:top w:w="120" w:type="dxa"/>
              <w:left w:w="150" w:type="dxa"/>
              <w:bottom w:w="120" w:type="dxa"/>
              <w:right w:w="150" w:type="dxa"/>
            </w:tcMar>
            <w:hideMark/>
          </w:tcPr>
          <w:p w14:paraId="625EBE1A"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Management and Administration (M&amp;A)</w:t>
            </w:r>
          </w:p>
        </w:tc>
        <w:tc>
          <w:tcPr>
            <w:tcW w:w="0" w:type="auto"/>
            <w:tcBorders>
              <w:right w:val="single" w:sz="12" w:space="0" w:color="E6E6E6"/>
            </w:tcBorders>
            <w:shd w:val="clear" w:color="auto" w:fill="FFFFFF"/>
            <w:tcMar>
              <w:top w:w="120" w:type="dxa"/>
              <w:left w:w="150" w:type="dxa"/>
              <w:bottom w:w="120" w:type="dxa"/>
              <w:right w:w="150" w:type="dxa"/>
            </w:tcMar>
            <w:hideMark/>
          </w:tcPr>
          <w:p w14:paraId="67AFE14E"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See Section D.12.c “Management and Administration (M&amp;A)”</w:t>
            </w:r>
          </w:p>
        </w:tc>
      </w:tr>
      <w:tr w:rsidR="008C28C4" w:rsidRPr="008C28C4" w14:paraId="55FAF498"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3CD30B4C"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PLANNING</w:t>
            </w:r>
          </w:p>
        </w:tc>
        <w:tc>
          <w:tcPr>
            <w:tcW w:w="0" w:type="auto"/>
            <w:tcBorders>
              <w:right w:val="single" w:sz="12" w:space="0" w:color="E6E6E6"/>
            </w:tcBorders>
            <w:shd w:val="clear" w:color="auto" w:fill="FFFFFF"/>
            <w:tcMar>
              <w:top w:w="120" w:type="dxa"/>
              <w:left w:w="150" w:type="dxa"/>
              <w:bottom w:w="120" w:type="dxa"/>
              <w:right w:w="150" w:type="dxa"/>
            </w:tcMar>
            <w:hideMark/>
          </w:tcPr>
          <w:p w14:paraId="076549DD"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Planning </w:t>
            </w:r>
          </w:p>
        </w:tc>
        <w:tc>
          <w:tcPr>
            <w:tcW w:w="0" w:type="auto"/>
            <w:tcBorders>
              <w:right w:val="single" w:sz="12" w:space="0" w:color="E6E6E6"/>
            </w:tcBorders>
            <w:shd w:val="clear" w:color="auto" w:fill="FFFFFF"/>
            <w:tcMar>
              <w:top w:w="120" w:type="dxa"/>
              <w:left w:w="150" w:type="dxa"/>
              <w:bottom w:w="120" w:type="dxa"/>
              <w:right w:w="150" w:type="dxa"/>
            </w:tcMar>
            <w:hideMark/>
          </w:tcPr>
          <w:p w14:paraId="53CF624D"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See Section D.12.f.i “Planning”</w:t>
            </w:r>
          </w:p>
        </w:tc>
      </w:tr>
      <w:tr w:rsidR="008C28C4" w:rsidRPr="008C28C4" w14:paraId="4114BB20" w14:textId="77777777" w:rsidTr="008C28C4">
        <w:tc>
          <w:tcPr>
            <w:tcW w:w="0" w:type="auto"/>
            <w:tcBorders>
              <w:right w:val="single" w:sz="12" w:space="0" w:color="E6E6E6"/>
            </w:tcBorders>
            <w:shd w:val="clear" w:color="auto" w:fill="FFFFFF"/>
            <w:tcMar>
              <w:top w:w="120" w:type="dxa"/>
              <w:left w:w="150" w:type="dxa"/>
              <w:bottom w:w="120" w:type="dxa"/>
              <w:right w:w="150" w:type="dxa"/>
            </w:tcMar>
            <w:hideMark/>
          </w:tcPr>
          <w:p w14:paraId="17865625"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EXERCISE</w:t>
            </w:r>
          </w:p>
        </w:tc>
        <w:tc>
          <w:tcPr>
            <w:tcW w:w="0" w:type="auto"/>
            <w:tcBorders>
              <w:right w:val="single" w:sz="12" w:space="0" w:color="E6E6E6"/>
            </w:tcBorders>
            <w:shd w:val="clear" w:color="auto" w:fill="FFFFFF"/>
            <w:tcMar>
              <w:top w:w="120" w:type="dxa"/>
              <w:left w:w="150" w:type="dxa"/>
              <w:bottom w:w="120" w:type="dxa"/>
              <w:right w:w="150" w:type="dxa"/>
            </w:tcMar>
            <w:hideMark/>
          </w:tcPr>
          <w:p w14:paraId="17A384A3"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Exercise </w:t>
            </w:r>
          </w:p>
        </w:tc>
        <w:tc>
          <w:tcPr>
            <w:tcW w:w="0" w:type="auto"/>
            <w:tcBorders>
              <w:right w:val="single" w:sz="12" w:space="0" w:color="E6E6E6"/>
            </w:tcBorders>
            <w:shd w:val="clear" w:color="auto" w:fill="FFFFFF"/>
            <w:tcMar>
              <w:top w:w="120" w:type="dxa"/>
              <w:left w:w="150" w:type="dxa"/>
              <w:bottom w:w="120" w:type="dxa"/>
              <w:right w:w="150" w:type="dxa"/>
            </w:tcMar>
            <w:hideMark/>
          </w:tcPr>
          <w:p w14:paraId="772427B8" w14:textId="77777777" w:rsidR="008C28C4" w:rsidRPr="008C28C4" w:rsidRDefault="008C28C4" w:rsidP="008C28C4">
            <w:pPr>
              <w:spacing w:after="0" w:line="240" w:lineRule="auto"/>
              <w:rPr>
                <w:rFonts w:ascii="Source Sans Pro" w:eastAsia="Times New Roman" w:hAnsi="Source Sans Pro" w:cs="Times New Roman"/>
                <w:color w:val="1B1B1B"/>
                <w:kern w:val="0"/>
                <w14:ligatures w14:val="none"/>
              </w:rPr>
            </w:pPr>
            <w:r w:rsidRPr="008C28C4">
              <w:rPr>
                <w:rFonts w:ascii="Source Sans Pro" w:eastAsia="Times New Roman" w:hAnsi="Source Sans Pro" w:cs="Times New Roman"/>
                <w:color w:val="1B1B1B"/>
                <w:kern w:val="0"/>
                <w14:ligatures w14:val="none"/>
              </w:rPr>
              <w:t>See Section D.12.f.iv “Training and Exercises”</w:t>
            </w:r>
          </w:p>
        </w:tc>
      </w:tr>
    </w:tbl>
    <w:p w14:paraId="33B907A9" w14:textId="77777777" w:rsidR="008C28C4" w:rsidRDefault="008C28C4"/>
    <w:p w14:paraId="6F54DB5A" w14:textId="6938D51E" w:rsidR="009B20A7" w:rsidRDefault="009B20A7">
      <w:r>
        <w:rPr>
          <w:rFonts w:ascii="Source Sans Pro" w:hAnsi="Source Sans Pro"/>
          <w:color w:val="1B1B1B"/>
          <w:sz w:val="26"/>
          <w:szCs w:val="26"/>
          <w:shd w:val="clear" w:color="auto" w:fill="FFFFFF"/>
        </w:rPr>
        <w:t>Contracted security personnel are allowed under this program only as described in this NOFO and must comply with guidance set forth in </w:t>
      </w:r>
      <w:hyperlink r:id="rId4" w:history="1">
        <w:r>
          <w:rPr>
            <w:rStyle w:val="Hyperlink"/>
            <w:rFonts w:ascii="Source Sans Pro" w:hAnsi="Source Sans Pro"/>
            <w:color w:val="005288"/>
            <w:sz w:val="26"/>
            <w:szCs w:val="26"/>
            <w:shd w:val="clear" w:color="auto" w:fill="FFFFFF"/>
          </w:rPr>
          <w:t>IB 421b</w:t>
        </w:r>
      </w:hyperlink>
      <w:r>
        <w:rPr>
          <w:rFonts w:ascii="Source Sans Pro" w:hAnsi="Source Sans Pro"/>
          <w:color w:val="1B1B1B"/>
          <w:sz w:val="26"/>
          <w:szCs w:val="26"/>
          <w:shd w:val="clear" w:color="auto" w:fill="FFFFFF"/>
        </w:rPr>
        <w:t> and </w:t>
      </w:r>
      <w:hyperlink r:id="rId5" w:history="1">
        <w:r>
          <w:rPr>
            <w:rStyle w:val="Hyperlink"/>
            <w:rFonts w:ascii="Source Sans Pro" w:hAnsi="Source Sans Pro"/>
            <w:color w:val="005288"/>
            <w:sz w:val="26"/>
            <w:szCs w:val="26"/>
            <w:shd w:val="clear" w:color="auto" w:fill="FFFFFF"/>
          </w:rPr>
          <w:t>IB 441</w:t>
        </w:r>
      </w:hyperlink>
      <w:r>
        <w:rPr>
          <w:rFonts w:ascii="Source Sans Pro" w:hAnsi="Source Sans Pro"/>
          <w:color w:val="1B1B1B"/>
          <w:sz w:val="26"/>
          <w:szCs w:val="26"/>
          <w:shd w:val="clear" w:color="auto" w:fill="FFFFFF"/>
        </w:rPr>
        <w:t>. NSGP funds may not be used to purchase equipment for contracted security. </w:t>
      </w:r>
    </w:p>
    <w:sectPr w:rsidR="009B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C4"/>
    <w:rsid w:val="00022EBA"/>
    <w:rsid w:val="008C28C4"/>
    <w:rsid w:val="009B2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0C51"/>
  <w15:chartTrackingRefBased/>
  <w15:docId w15:val="{32372FFF-3CCF-46D7-8DC4-B8DADB57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8C4"/>
    <w:rPr>
      <w:rFonts w:eastAsiaTheme="majorEastAsia" w:cstheme="majorBidi"/>
      <w:color w:val="272727" w:themeColor="text1" w:themeTint="D8"/>
    </w:rPr>
  </w:style>
  <w:style w:type="paragraph" w:styleId="Title">
    <w:name w:val="Title"/>
    <w:basedOn w:val="Normal"/>
    <w:next w:val="Normal"/>
    <w:link w:val="TitleChar"/>
    <w:uiPriority w:val="10"/>
    <w:qFormat/>
    <w:rsid w:val="008C2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8C4"/>
    <w:pPr>
      <w:spacing w:before="160"/>
      <w:jc w:val="center"/>
    </w:pPr>
    <w:rPr>
      <w:i/>
      <w:iCs/>
      <w:color w:val="404040" w:themeColor="text1" w:themeTint="BF"/>
    </w:rPr>
  </w:style>
  <w:style w:type="character" w:customStyle="1" w:styleId="QuoteChar">
    <w:name w:val="Quote Char"/>
    <w:basedOn w:val="DefaultParagraphFont"/>
    <w:link w:val="Quote"/>
    <w:uiPriority w:val="29"/>
    <w:rsid w:val="008C28C4"/>
    <w:rPr>
      <w:i/>
      <w:iCs/>
      <w:color w:val="404040" w:themeColor="text1" w:themeTint="BF"/>
    </w:rPr>
  </w:style>
  <w:style w:type="paragraph" w:styleId="ListParagraph">
    <w:name w:val="List Paragraph"/>
    <w:basedOn w:val="Normal"/>
    <w:uiPriority w:val="34"/>
    <w:qFormat/>
    <w:rsid w:val="008C28C4"/>
    <w:pPr>
      <w:ind w:left="720"/>
      <w:contextualSpacing/>
    </w:pPr>
  </w:style>
  <w:style w:type="character" w:styleId="IntenseEmphasis">
    <w:name w:val="Intense Emphasis"/>
    <w:basedOn w:val="DefaultParagraphFont"/>
    <w:uiPriority w:val="21"/>
    <w:qFormat/>
    <w:rsid w:val="008C28C4"/>
    <w:rPr>
      <w:i/>
      <w:iCs/>
      <w:color w:val="0F4761" w:themeColor="accent1" w:themeShade="BF"/>
    </w:rPr>
  </w:style>
  <w:style w:type="paragraph" w:styleId="IntenseQuote">
    <w:name w:val="Intense Quote"/>
    <w:basedOn w:val="Normal"/>
    <w:next w:val="Normal"/>
    <w:link w:val="IntenseQuoteChar"/>
    <w:uiPriority w:val="30"/>
    <w:qFormat/>
    <w:rsid w:val="008C2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8C4"/>
    <w:rPr>
      <w:i/>
      <w:iCs/>
      <w:color w:val="0F4761" w:themeColor="accent1" w:themeShade="BF"/>
    </w:rPr>
  </w:style>
  <w:style w:type="character" w:styleId="IntenseReference">
    <w:name w:val="Intense Reference"/>
    <w:basedOn w:val="DefaultParagraphFont"/>
    <w:uiPriority w:val="32"/>
    <w:qFormat/>
    <w:rsid w:val="008C28C4"/>
    <w:rPr>
      <w:b/>
      <w:bCs/>
      <w:smallCaps/>
      <w:color w:val="0F4761" w:themeColor="accent1" w:themeShade="BF"/>
      <w:spacing w:val="5"/>
    </w:rPr>
  </w:style>
  <w:style w:type="character" w:styleId="Strong">
    <w:name w:val="Strong"/>
    <w:basedOn w:val="DefaultParagraphFont"/>
    <w:uiPriority w:val="22"/>
    <w:qFormat/>
    <w:rsid w:val="008C28C4"/>
    <w:rPr>
      <w:b/>
      <w:bCs/>
    </w:rPr>
  </w:style>
  <w:style w:type="character" w:customStyle="1" w:styleId="tablesaw-cell-content">
    <w:name w:val="tablesaw-cell-content"/>
    <w:basedOn w:val="DefaultParagraphFont"/>
    <w:rsid w:val="008C28C4"/>
  </w:style>
  <w:style w:type="character" w:styleId="Emphasis">
    <w:name w:val="Emphasis"/>
    <w:basedOn w:val="DefaultParagraphFont"/>
    <w:uiPriority w:val="20"/>
    <w:qFormat/>
    <w:rsid w:val="008C28C4"/>
    <w:rPr>
      <w:i/>
      <w:iCs/>
    </w:rPr>
  </w:style>
  <w:style w:type="character" w:styleId="Hyperlink">
    <w:name w:val="Hyperlink"/>
    <w:basedOn w:val="DefaultParagraphFont"/>
    <w:uiPriority w:val="99"/>
    <w:semiHidden/>
    <w:unhideWhenUsed/>
    <w:rsid w:val="009B2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21916">
      <w:bodyDiv w:val="1"/>
      <w:marLeft w:val="0"/>
      <w:marRight w:val="0"/>
      <w:marTop w:val="0"/>
      <w:marBottom w:val="0"/>
      <w:divBdr>
        <w:top w:val="none" w:sz="0" w:space="0" w:color="auto"/>
        <w:left w:val="none" w:sz="0" w:space="0" w:color="auto"/>
        <w:bottom w:val="none" w:sz="0" w:space="0" w:color="auto"/>
        <w:right w:val="none" w:sz="0" w:space="0" w:color="auto"/>
      </w:divBdr>
    </w:div>
    <w:div w:id="21423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ma.gov/sites/default/files/2020-04/Scope_Change_NSGP_IB_441_Final_06-05-2019.pdf" TargetMode="External"/><Relationship Id="rId4" Type="http://schemas.openxmlformats.org/officeDocument/2006/relationships/hyperlink" Target="https://www.fema.gov/sites/default/files/2020-04/Price_Wavier_Act_Clarification_IB_421B_GPD_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Laney</dc:creator>
  <cp:keywords/>
  <dc:description/>
  <cp:lastModifiedBy>Knapp, Laney</cp:lastModifiedBy>
  <cp:revision>1</cp:revision>
  <dcterms:created xsi:type="dcterms:W3CDTF">2024-04-19T18:00:00Z</dcterms:created>
  <dcterms:modified xsi:type="dcterms:W3CDTF">2024-04-19T18:12:00Z</dcterms:modified>
</cp:coreProperties>
</file>